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A3" w:rsidRDefault="005F5313">
      <w:pPr>
        <w:pStyle w:val="Titre"/>
        <w:jc w:val="right"/>
      </w:pPr>
      <w:bookmarkStart w:id="0" w:name="_GoBack"/>
      <w:bookmarkEnd w:id="0"/>
      <w:r>
        <w:t>Association Sportive Volley du Garon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46356</wp:posOffset>
            </wp:positionH>
            <wp:positionV relativeFrom="paragraph">
              <wp:posOffset>-99694</wp:posOffset>
            </wp:positionV>
            <wp:extent cx="1530350" cy="1821180"/>
            <wp:effectExtent l="0" t="0" r="0" b="0"/>
            <wp:wrapSquare wrapText="bothSides" distT="0" distB="0" distL="114300" distR="11430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821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5FA3" w:rsidRDefault="005F5313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6 bis Boulevard Georges Brassens – 69 530 BRIGNAIS</w:t>
      </w:r>
    </w:p>
    <w:p w:rsidR="00325FA3" w:rsidRDefault="005F5313">
      <w:pPr>
        <w:spacing w:after="0"/>
        <w:jc w:val="right"/>
        <w:rPr>
          <w:sz w:val="16"/>
          <w:szCs w:val="16"/>
        </w:rPr>
      </w:pPr>
      <w:hyperlink r:id="rId9">
        <w:r>
          <w:rPr>
            <w:color w:val="0000FF"/>
            <w:sz w:val="16"/>
            <w:szCs w:val="16"/>
            <w:u w:val="single"/>
          </w:rPr>
          <w:t>asvolleydugaron@gmail.com</w:t>
        </w:r>
      </w:hyperlink>
    </w:p>
    <w:p w:rsidR="00325FA3" w:rsidRDefault="005F5313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06 68 16 53 00</w:t>
      </w:r>
    </w:p>
    <w:p w:rsidR="00325FA3" w:rsidRDefault="005F5313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Siret 821 489 994 00011</w:t>
      </w:r>
    </w:p>
    <w:p w:rsidR="00325FA3" w:rsidRDefault="005F5313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Association régie par la loi du 1</w:t>
      </w:r>
      <w:r>
        <w:rPr>
          <w:sz w:val="16"/>
          <w:szCs w:val="16"/>
          <w:vertAlign w:val="superscript"/>
        </w:rPr>
        <w:t>er</w:t>
      </w:r>
      <w:r>
        <w:rPr>
          <w:sz w:val="16"/>
          <w:szCs w:val="16"/>
        </w:rPr>
        <w:t xml:space="preserve"> juillet 1901</w:t>
      </w:r>
    </w:p>
    <w:p w:rsidR="00325FA3" w:rsidRDefault="005F5313">
      <w:pPr>
        <w:pStyle w:val="Titre1"/>
        <w:spacing w:before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Règlement intérieur</w:t>
      </w:r>
    </w:p>
    <w:p w:rsidR="00325FA3" w:rsidRDefault="00325FA3">
      <w:pPr>
        <w:sectPr w:rsidR="00325FA3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720" w:right="720" w:bottom="720" w:left="720" w:header="708" w:footer="708" w:gutter="0"/>
          <w:pgNumType w:start="1"/>
          <w:cols w:space="720"/>
        </w:sectPr>
      </w:pPr>
    </w:p>
    <w:p w:rsidR="00325FA3" w:rsidRDefault="005F5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Conditions d’adhésion des membres et les procédures disciplinaires.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1.1. Condition d’adhésion pour adhérer à L’ASVG. Le dossier de chaque demandeur doit être complet. Ce dossier sera composé de :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1.1.1. : Fiche d’inscription dûment remplie.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1.1.2. : Cotisation à jour.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1.1.3. : 1 photo d’identité.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1.1.4. : 2 Enveloppe(s) timbrée(s).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1.1.5. : Un certificat médical (validité 3 ans si le questionnaire santé est négatif)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1.1.6. : Le règlement intérieur signé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1.1.7. : Nous rappelons que l’adhérent doit souscrire une assurance dommage corporel à </w:t>
      </w:r>
      <w:r>
        <w:rPr>
          <w:rFonts w:ascii="Times New Roman" w:eastAsia="Times New Roman" w:hAnsi="Times New Roman" w:cs="Times New Roman"/>
          <w:sz w:val="18"/>
          <w:szCs w:val="18"/>
        </w:rPr>
        <w:t>titre personnel. L’association peut vous en proposer une sur simple demande.</w:t>
      </w:r>
    </w:p>
    <w:p w:rsidR="00325FA3" w:rsidRDefault="00325FA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25FA3" w:rsidRDefault="005F5313">
      <w:pPr>
        <w:tabs>
          <w:tab w:val="left" w:pos="526"/>
        </w:tabs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2972952" cy="1493103"/>
            <wp:effectExtent l="0" t="0" r="0" b="0"/>
            <wp:docPr id="2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t="1318"/>
                    <a:stretch>
                      <a:fillRect/>
                    </a:stretch>
                  </pic:blipFill>
                  <pic:spPr>
                    <a:xfrm>
                      <a:off x="0" y="0"/>
                      <a:ext cx="2972952" cy="1493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5FA3" w:rsidRDefault="005F5313">
      <w:pPr>
        <w:tabs>
          <w:tab w:val="left" w:pos="526"/>
        </w:tabs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2569242" cy="1936804"/>
            <wp:effectExtent l="0" t="0" r="0" b="0"/>
            <wp:docPr id="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9242" cy="1936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5FA3" w:rsidRDefault="00325FA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325FA3" w:rsidRDefault="00325FA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25FA3" w:rsidRDefault="00325FA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1.2. Procédures disciplinaires Pour tout manquement au règlement le conseil d’administration de l’association peut voter une exclusion temporaire ou définitive de l’association. Cette décision sera prise à </w:t>
      </w:r>
      <w:r>
        <w:rPr>
          <w:rFonts w:ascii="Times New Roman" w:eastAsia="Times New Roman" w:hAnsi="Times New Roman" w:cs="Times New Roman"/>
          <w:sz w:val="18"/>
          <w:szCs w:val="18"/>
        </w:rPr>
        <w:t>la suite d’une réunion extraordinaire pouvant être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demandée par courrier au président de l’association. Cette commission sera formée par :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1.1.1. Le bureau de l’association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1.1.2. Le conseil d’administration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1.1.3. Les intervenants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1.1.4. Le demandeur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1.1.5. L’adhérent concerné. L’exclusion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de l’adhérent sera votée à bulletin secret à la majorité absolue et ne pourra donner en aucun lieu à un remboursement. </w:t>
      </w:r>
    </w:p>
    <w:p w:rsidR="00325FA3" w:rsidRDefault="00325FA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25FA3" w:rsidRDefault="005F5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Les modalités de convocation de l’assemblée et l’élaboration d’une feuille de présence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2.1. Convocation à l’assemblée générale Chaqu</w:t>
      </w:r>
      <w:r>
        <w:rPr>
          <w:rFonts w:ascii="Times New Roman" w:eastAsia="Times New Roman" w:hAnsi="Times New Roman" w:cs="Times New Roman"/>
          <w:sz w:val="18"/>
          <w:szCs w:val="18"/>
        </w:rPr>
        <w:t>e membre sera convoqué par lettre ou par mail à l’assemblée générale quinze jours avant la date de ladite réunion. Cette convocation sera accompagnée de l’ordre du jour, des votes présentés et des passations de pouvoir. Plusieurs assemblées générales seron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demandées.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2.1.1. Assemblée générale de fin d’année Vote du bureau et des budgets de l’année écoulée, proposition de projet pour l’année à venir, vote des frais d’inscription de l’année à venir…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2.1.2. Assemblée générale de début d’année Présentati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on des membres du bureau et des bilans financiers, présentation aux nouveaux membres du fonctionnement de l’association…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2.1.3. Assemblée générale extraordinaire Celle-ci peut être demandée par écrit au président par tous les membres de l’association, 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lle est convoquée pour une décision exceptionnelle.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2.2. Élaboration d’une feuille de présence (quorum) Au début de chaque assemblée une feuille d’émargement sera présentée. Tous les adhérents devront la signer. Les représentants de pouvoir signeront en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face du nom de la personne qu’ils représentent. Les votes ne seront validés que si le quorum (25 % des adhérents) est atteint exception faite des assemblées générales extraordinaires. </w:t>
      </w:r>
    </w:p>
    <w:p w:rsidR="00325FA3" w:rsidRDefault="00325FA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25FA3" w:rsidRDefault="005F5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L’organisation interne du conseil d’administration et du bureau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3.1. Conseil d’administration et bureau L’ASVG fonctionne de la manière suivante : Un conseil d’administration élu par l’assemblée générale pour un an. Les membres du conseil d’administration sont obligatoirement à jour d’inscription au sein de l’associati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on. Les postes vacants seront systématiquement présentés à l’assemblée générale. Le conseil d’administration nommera son bureau directeur (président, trésorier, secrétaire et leurs adjoints).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ab/>
        <w:t>3.2. Membres d’honneurs L’assemblée générale accorde le statut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de membre d’honneur à une personne, proposée par un autre membre, pour des services rendus à la structure.</w:t>
      </w:r>
    </w:p>
    <w:p w:rsidR="00325FA3" w:rsidRDefault="00325FA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25FA3" w:rsidRDefault="005F5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Respect du matériel ou des locaux associatifs et de l’ensemble des adhérents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4.1. Respect des horaires Nous demandons à chacun de nos adhérents de respecter les horaires des séances. L’intervenant n’attendra pas les retardataires (Voir 7.1). Au-delà des horaires d’entraînements encadrés, les pratiquants mineurs restent sous la resp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onsabilité de leur représentant légal.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4.2. Respect des locaux et du matériel Toute dégradation volontaire du matériel ou des locaux entraînera une demande de remboursement à l’adhérent. Tous les matériaux usés ou abimés doivent être signalés aux interve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nants.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4.3. Respect des consignes Pour une pratique en toute sécurité nous demandons aux adhérents de bien suivre les consignes qui leur seront données.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4.4. Respect des autres « La liberté des uns s’arrête là où commence celle des autres ». Dans ce ca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dre-là il est demandé à chacun de respecter les autres adhérents ainsi que les intervenants.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4.5. Respect de l’activité Une tenue de sport adaptée à l’activité est indispensable, dans le cas où l’adhérent ne respecte pas cette prérogative, l’intervenant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peut exclure l’adhérent de la séance. </w:t>
      </w:r>
    </w:p>
    <w:p w:rsidR="00325FA3" w:rsidRDefault="00325FA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25FA3" w:rsidRDefault="005F5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L’animation de l’association et l’organisation de festivités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L’ASVG organisera quelques manifestations afin de collecter des fonds pour son fonctionnement. Chaque membre est libre de participer ou non à ces manifest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ations, toute demande d’organisation est votée par le Conseil d’administration et le bureau. Toute demande doit être adressée au président par courrier. </w:t>
      </w:r>
    </w:p>
    <w:p w:rsidR="00325FA3" w:rsidRDefault="005F5313">
      <w:pPr>
        <w:tabs>
          <w:tab w:val="left" w:pos="52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190500</wp:posOffset>
                </wp:positionV>
                <wp:extent cx="149225" cy="14287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150" y="3713325"/>
                          <a:ext cx="139700" cy="1333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5FA3" w:rsidRDefault="00325FA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190500</wp:posOffset>
                </wp:positionV>
                <wp:extent cx="149225" cy="142875"/>
                <wp:effectExtent b="0" l="0" r="0" t="0"/>
                <wp:wrapNone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25FA3" w:rsidRDefault="005F5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Le montant des cotisations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Le montant des cotisations annuelles est fixé par Assemblée générale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de fin de saison. Pour les événements organisés, l'association se réserve le droit de demander une participation financière aux adhérents souhaitant en profiter.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368300</wp:posOffset>
                </wp:positionV>
                <wp:extent cx="149225" cy="1428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150" y="3713325"/>
                          <a:ext cx="139700" cy="1333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5FA3" w:rsidRDefault="00325FA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368300</wp:posOffset>
                </wp:positionV>
                <wp:extent cx="149225" cy="142875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22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25FA3" w:rsidRDefault="00325FA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25FA3" w:rsidRDefault="005F5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Le fonctionnement de l’association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7.1. Séances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7.1.1.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Lundi : gymnase Minssieux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325FA3" w:rsidRDefault="005F5313">
      <w:pPr>
        <w:tabs>
          <w:tab w:val="left" w:pos="526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7.1.1.1 18h00 – 19h30 : entraînement M 9 – M 11</w:t>
      </w:r>
    </w:p>
    <w:p w:rsidR="00325FA3" w:rsidRDefault="005F5313">
      <w:pPr>
        <w:tabs>
          <w:tab w:val="left" w:pos="526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7.1.1.2 18h30 – 20h00 : entraînement M 13-M 15</w:t>
      </w:r>
    </w:p>
    <w:p w:rsidR="00325FA3" w:rsidRDefault="005F5313">
      <w:pPr>
        <w:tabs>
          <w:tab w:val="left" w:pos="526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7.1.1.3 19h00 - 20h30 : entraînement M 18-M 21</w:t>
      </w:r>
    </w:p>
    <w:p w:rsidR="00325FA3" w:rsidRDefault="005F5313">
      <w:pPr>
        <w:tabs>
          <w:tab w:val="left" w:pos="526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7.1.1.3 20h30–22h30:entraînement Loisir+M21/M18 libre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7.1.2. </w:t>
      </w:r>
      <w:r>
        <w:rPr>
          <w:rFonts w:ascii="Times New Roman" w:eastAsia="Times New Roman" w:hAnsi="Times New Roman" w:cs="Times New Roman"/>
          <w:sz w:val="18"/>
          <w:szCs w:val="18"/>
          <w:u w:val="single"/>
        </w:rPr>
        <w:t>Jeudi : Gymnase Minssieux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: </w:t>
      </w:r>
    </w:p>
    <w:p w:rsidR="00325FA3" w:rsidRDefault="005F5313">
      <w:pPr>
        <w:tabs>
          <w:tab w:val="left" w:pos="526"/>
        </w:tabs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7.1.2.1. 20h00- 22h30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: entraînement loisir + M21/M18 libre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325FA3" w:rsidRDefault="00325FA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325FA3" w:rsidRDefault="00325FA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7.2. Affiliation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7.2.1. FFVB L’ASVG est affiliée à la fédération Française de volley-ball. Pour tout renseignement n’hésitez pas à visionner le site internet du celui-ci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7.2.2. FSGT L’ASVG est affiliée à la fédération Française de volley-ball. Pour tout renseignement n’hésitez pas à visionner le site internet du celui-ci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7.2.3. Assurance: Chaque adhérent sera licencié à la fédération française de volley-ball. Une assura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nce sera souscrite au moment de l’adhésion.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7.3. Annulation de séance En cas d’annulation de séance, l'association prévient les adhérents par mail et sur leur site internet.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7.4. Transports Le transport jusqu’aux différents lieux de pratique est pris 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charge et sous la responsabilité des adhérents. L’association n’intervient pas dans le transport des adhérents jusqu’aux lieux de pratique. </w:t>
      </w:r>
    </w:p>
    <w:p w:rsidR="00325FA3" w:rsidRDefault="00325FA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25FA3" w:rsidRDefault="005F5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Le recrutement </w:t>
      </w:r>
    </w:p>
    <w:p w:rsidR="00325FA3" w:rsidRDefault="00325FA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8.1. Responsable du recrutement La responsabilité du recrutement est affectée au Conseil d’adm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inistration dans son ensemble. Seule une candidature ayant été approuvée à l’unanimité des membres du conseil d’administration sera retenue. </w:t>
      </w:r>
    </w:p>
    <w:p w:rsidR="00325FA3" w:rsidRDefault="005F531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>8.2. Cas particulier : Comme le prévoit l’article 25 des statuts de l’association, un membre du Conseil d’adminis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tration ou du bureau peut enseigner le volley-ball contre rémunération. Dans ce cas précis, cette personne ne peut être consultée dans la décision prise au sujet du recrutement. </w:t>
      </w:r>
    </w:p>
    <w:p w:rsidR="00325FA3" w:rsidRDefault="00325FA3">
      <w:pPr>
        <w:tabs>
          <w:tab w:val="left" w:pos="526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bookmarkStart w:id="1" w:name="_heading=h.gjdgxs" w:colFirst="0" w:colLast="0"/>
    <w:bookmarkEnd w:id="1"/>
    <w:p w:rsidR="00325FA3" w:rsidRDefault="005F5313">
      <w:pPr>
        <w:tabs>
          <w:tab w:val="left" w:pos="526"/>
        </w:tabs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38100</wp:posOffset>
                </wp:positionV>
                <wp:extent cx="2927350" cy="41402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0425" y="1748000"/>
                          <a:ext cx="2851150" cy="40640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76200" cap="flat" cmpd="sng">
                          <a:solidFill>
                            <a:srgbClr val="4B88F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25FA3" w:rsidRDefault="00325FA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38100</wp:posOffset>
                </wp:positionV>
                <wp:extent cx="2927350" cy="4140200"/>
                <wp:effectExtent b="0" l="0" r="0" t="0"/>
                <wp:wrapNone/>
                <wp:docPr id="1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350" cy="414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25FA3" w:rsidRDefault="00325FA3">
      <w:pPr>
        <w:tabs>
          <w:tab w:val="left" w:pos="526"/>
        </w:tabs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25FA3" w:rsidRDefault="005F5313">
      <w:pPr>
        <w:tabs>
          <w:tab w:val="left" w:pos="526"/>
        </w:tabs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2447925" cy="366077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26800" y="1954375"/>
                          <a:ext cx="2438400" cy="365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5FA3" w:rsidRDefault="005F531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Nom :</w:t>
                            </w:r>
                          </w:p>
                          <w:p w:rsidR="00325FA3" w:rsidRDefault="005F531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Prénom :</w:t>
                            </w:r>
                          </w:p>
                          <w:p w:rsidR="00325FA3" w:rsidRDefault="005F531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Date de naissance :</w:t>
                            </w:r>
                          </w:p>
                          <w:p w:rsidR="00325FA3" w:rsidRDefault="00325FA3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325FA3" w:rsidRDefault="005F5313">
                            <w:pPr>
                              <w:spacing w:line="275" w:lineRule="auto"/>
                              <w:ind w:firstLine="7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Atteste avoir lu le règlement intérieur de l’association</w:t>
                            </w:r>
                          </w:p>
                          <w:p w:rsidR="00325FA3" w:rsidRDefault="005F5313">
                            <w:pPr>
                              <w:spacing w:line="275" w:lineRule="auto"/>
                              <w:ind w:firstLine="708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Accepte le règlement intérieur</w:t>
                            </w:r>
                          </w:p>
                          <w:p w:rsidR="00325FA3" w:rsidRDefault="00325FA3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325FA3" w:rsidRDefault="005F531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Date :</w:t>
                            </w:r>
                          </w:p>
                          <w:p w:rsidR="00325FA3" w:rsidRDefault="005F531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Signature de l’adhérent ou de son responsable légal :</w:t>
                            </w:r>
                          </w:p>
                          <w:p w:rsidR="00325FA3" w:rsidRDefault="00325FA3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325FA3" w:rsidRDefault="00325FA3">
                            <w:pPr>
                              <w:spacing w:after="0" w:line="275" w:lineRule="auto"/>
                              <w:jc w:val="right"/>
                              <w:textDirection w:val="btLr"/>
                            </w:pPr>
                          </w:p>
                          <w:p w:rsidR="00325FA3" w:rsidRDefault="005F5313">
                            <w:pPr>
                              <w:spacing w:after="0" w:line="275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  <w:sz w:val="14"/>
                                <w:u w:val="single"/>
                              </w:rPr>
                              <w:t>Coupon à remettre dans le dossier d’inscription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114300</wp:posOffset>
                </wp:positionV>
                <wp:extent cx="2447925" cy="3660775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3660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25FA3">
      <w:type w:val="continuous"/>
      <w:pgSz w:w="11906" w:h="16838"/>
      <w:pgMar w:top="720" w:right="720" w:bottom="720" w:left="720" w:header="708" w:footer="708" w:gutter="0"/>
      <w:cols w:num="2" w:space="720" w:equalWidth="0">
        <w:col w:w="4879" w:space="708"/>
        <w:col w:w="487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313" w:rsidRDefault="005F5313">
      <w:pPr>
        <w:spacing w:after="0" w:line="240" w:lineRule="auto"/>
      </w:pPr>
      <w:r>
        <w:separator/>
      </w:r>
    </w:p>
  </w:endnote>
  <w:endnote w:type="continuationSeparator" w:id="0">
    <w:p w:rsidR="005F5313" w:rsidRDefault="005F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A3" w:rsidRDefault="005F53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188498" cy="590319"/>
          <wp:effectExtent l="0" t="0" r="0" b="0"/>
          <wp:docPr id="2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498" cy="5903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313" w:rsidRDefault="005F5313">
      <w:pPr>
        <w:spacing w:after="0" w:line="240" w:lineRule="auto"/>
      </w:pPr>
      <w:r>
        <w:separator/>
      </w:r>
    </w:p>
  </w:footnote>
  <w:footnote w:type="continuationSeparator" w:id="0">
    <w:p w:rsidR="005F5313" w:rsidRDefault="005F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A3" w:rsidRDefault="00325F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A3" w:rsidRDefault="00325F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A3" w:rsidRDefault="00325F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0BFA"/>
    <w:multiLevelType w:val="multilevel"/>
    <w:tmpl w:val="4A8A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F9621A"/>
    <w:multiLevelType w:val="multilevel"/>
    <w:tmpl w:val="8E225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A3"/>
    <w:rsid w:val="00325FA3"/>
    <w:rsid w:val="005F5313"/>
    <w:rsid w:val="0087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20718-09FE-4D7B-9F7F-9DEAC8D9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2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82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282A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0C2"/>
  </w:style>
  <w:style w:type="paragraph" w:styleId="Pieddepage">
    <w:name w:val="footer"/>
    <w:basedOn w:val="Normal"/>
    <w:link w:val="PieddepageCar"/>
    <w:uiPriority w:val="99"/>
    <w:unhideWhenUsed/>
    <w:rsid w:val="001B1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0C2"/>
  </w:style>
  <w:style w:type="paragraph" w:styleId="Textedebulles">
    <w:name w:val="Balloon Text"/>
    <w:basedOn w:val="Normal"/>
    <w:link w:val="TextedebullesCar"/>
    <w:uiPriority w:val="99"/>
    <w:semiHidden/>
    <w:unhideWhenUsed/>
    <w:rsid w:val="001B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0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03BA"/>
    <w:rPr>
      <w:color w:val="0000FF" w:themeColor="hyperlink"/>
      <w:u w:val="single"/>
    </w:rPr>
  </w:style>
  <w:style w:type="paragraph" w:styleId="Paragraphedeliste">
    <w:name w:val="List Paragraph"/>
    <w:basedOn w:val="Normal"/>
    <w:qFormat/>
    <w:rsid w:val="00B33027"/>
    <w:pPr>
      <w:ind w:left="720"/>
      <w:contextualSpacing/>
    </w:pPr>
  </w:style>
  <w:style w:type="numbering" w:customStyle="1" w:styleId="WWNum2">
    <w:name w:val="WWNum2"/>
    <w:rsid w:val="00252190"/>
  </w:style>
  <w:style w:type="character" w:customStyle="1" w:styleId="Titre1Car">
    <w:name w:val="Titre 1 Car"/>
    <w:basedOn w:val="Policepardfaut"/>
    <w:link w:val="Titre1"/>
    <w:uiPriority w:val="9"/>
    <w:rsid w:val="0028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8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Car">
    <w:name w:val="Titre Car"/>
    <w:basedOn w:val="Policepardfaut"/>
    <w:link w:val="Titre"/>
    <w:uiPriority w:val="10"/>
    <w:rsid w:val="00282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39D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39D3"/>
    <w:rPr>
      <w:i/>
      <w:iCs/>
      <w:color w:val="4F81BD" w:themeColor="accent1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hyperlink" Target="mailto:asvolleydugaron@gmail.com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wLt02/E+7J7GTNWAidgPVE3Brw==">AMUW2mWEGQ3Yho+9iPIjFutewsm7gZ1BXo7yhFK/wpqla1GO3PUJWOYnFxMbtuFtOjtQVSuft5lUZ8UhVoWdM/UZXj76Fxj682mLfWFfH279NJcvH0rvMEjwgLJ50MR43oks1sydUld4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1099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VOLLEY DU GARON</dc:creator>
  <cp:lastModifiedBy>JACQUET, Matthieu</cp:lastModifiedBy>
  <cp:revision>2</cp:revision>
  <dcterms:created xsi:type="dcterms:W3CDTF">2021-07-21T10:33:00Z</dcterms:created>
  <dcterms:modified xsi:type="dcterms:W3CDTF">2021-07-21T10:33:00Z</dcterms:modified>
</cp:coreProperties>
</file>